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fde91250d423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33618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VRATIŠINEC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286.875,42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350.214,86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151.201,81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201.345,70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135.673,61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148.869,16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109,7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1.066,35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102.368,46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14.587,50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102.294,81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13.521,15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33.378,80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135.348,01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405,5</w:t>
            </w:r>
          </w:p>
        </w:tc>
      </w:tr>
    </w:tbl>
    <w:p>
      <w:pPr>
        <w:spacing w:before="0" w:after="0"/>
      </w:pPr>
    </w:p>
    <w:p>
      <w:r>
        <w:t xml:space="preserve">Financijski izvještaj Općine Vratišinec za razdoblje od 1. siječnja do 31. ožujka 2026. godine sačinjen je u skladu s važećim zakonskim propisima i temelji se na podacima iskazanim u obrascu PR-RAS.</w:t>
      </w:r>
    </w:p>
    <w:p>
      <w:r>
        <w:t xml:space="preserve">Tijekom promatranog razdoblja, ukupni prihodi poslovanja općine iznosili su 350.214,86 €, dok su ukupni rashodi poslovanja bili 201.345,70 €, što je rezultiralo viškom prihoda poslovanja od 148.869,16 €.</w:t>
      </w:r>
    </w:p>
    <w:p>
      <w:r>
        <w:t xml:space="preserve">Od ukupnih prihoda od prodaje nefinancijske imovine zabilježen je prihod od 1.066,35 €, dok su rashodi za nabavu nefinancijske imovine iznosili 14.587,50 €, što je rezultiralo manjkom prihoda od nefinancijske imovine u iznosu od 13.521,15 €.</w:t>
      </w:r>
    </w:p>
    <w:p>
      <w:r>
        <w:t xml:space="preserve">U promatranom razdoblju nisu zabilježeni prihodi ni rashodi povezani s financijskom imovinom i zaduživanjem.</w:t>
      </w:r>
    </w:p>
    <w:p>
      <w:r>
        <w:t xml:space="preserve">Konačno, višak prihoda i primitaka za razdoblje iznosi 135.348,01 €. Ovaj rezultat nastao je prvenstveno zbog smanjenog trošenja u prvom tromjesečju, što je strateški mjera za stabilizaciju financijskog stanja općine, imajući u vidu da je krajem prošle godine zabilježen manjak.</w:t>
      </w:r>
    </w:p>
    <w:p>
      <w:r>
        <w:t xml:space="preserve">Ovi podaci predstavljaju temelj za praćenje izvršenja proračuna, planiranje budućih aktivnosti te transparentno informiranje javnosti o financijskom stanju Općine Vratišinec.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97.632,96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12.810,00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13,1</w:t>
            </w:r>
          </w:p>
        </w:tc>
      </w:tr>
    </w:tbl>
    <w:p>
      <w:pPr>
        <w:spacing w:before="0" w:after="0"/>
      </w:pPr>
    </w:p>
    <w:p>
      <w:r>
        <w:t xml:space="preserve">Smanjenje u odnosu na prošlu godinu jer je prošle godine u istome periodu na ovom kontu bilo prikazano fiskalno izravnanje.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42.606,25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isplatu Ministarstva demografije i iseljeništva za projekat koji je proveden i realiziran u 2025.  godini. Radi se o projektu izgradnja djejeg igrališta Remis.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izravnanja za decentralizirane funkcije i fiskalnog izravnanja (šifre 6351 do 6353)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90.247,14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Fiskalno izravnanje koje mjesečno dobimo od države evidentirano na ispravnom kontu.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Komunalni doprinosi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545,64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promatranom izvještajnom razdoblju nije bilo za obračun niti jednog komunalnog doprinosa.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8.598,64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12.314,64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143,2</w:t>
            </w:r>
          </w:p>
        </w:tc>
      </w:tr>
    </w:tbl>
    <w:p>
      <w:pPr>
        <w:spacing w:before="0" w:after="0"/>
      </w:pPr>
    </w:p>
    <w:p>
      <w:r>
        <w:t xml:space="preserve">Do povećanja je na ovom kontu  došlo zbog izvršene usluge malčiranja ulice Ograda i krčenja parcele od raslinja u ulici Brodec kraj pruge, i malčiranja trave i održavanja javnih zelenih površina u Gornjem Kraljevcu u ukupnom iznosu od 7.093,75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proračunskim korisnicima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42.021,36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61.800,89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147,1</w:t>
            </w:r>
          </w:p>
        </w:tc>
      </w:tr>
    </w:tbl>
    <w:p>
      <w:pPr>
        <w:spacing w:before="0" w:after="0"/>
      </w:pPr>
    </w:p>
    <w:p>
      <w:r>
        <w:t xml:space="preserve">Rezultat većeg izdvajanja je povećanje ekonomske cijene vrtića i povećanje broja djece u matičnom vrtiću. Također zaposlenicima su povećane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16.800,00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407,3</w:t>
            </w:r>
          </w:p>
        </w:tc>
      </w:tr>
    </w:tbl>
    <w:p>
      <w:pPr>
        <w:spacing w:before="0" w:after="0"/>
      </w:pPr>
    </w:p>
    <w:p>
      <w:r>
        <w:t xml:space="preserve">Povećanje, na kontu 37219 evidentirano je sufinanciranje priključaka za optički internet u iznosu od 9.600,00 EUR za 64 priključaka.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14.392,50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trošak Trgovini Krk za bonove za Uskrs 2026. godine za umirovljenike i osobe bez primanja s područja općine.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VIŠAK PRIHODA (šifre X067-Y034)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33.378,80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135.348,01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405,5</w:t>
            </w:r>
          </w:p>
        </w:tc>
      </w:tr>
    </w:tbl>
    <w:p>
      <w:pPr>
        <w:spacing w:before="0" w:after="0"/>
      </w:pPr>
    </w:p>
    <w:p>
      <w:r>
        <w:t xml:space="preserve">U izvještajnom razdoblju ostvaren je značajan porast viška prihoda u odnosu na prethodnu godinu. Višak prihoda povećan je s 33.378,80 € na 135.348,01 €, što je rezultat kombinacije rasta prihoda i smanjenja rashoda.</w:t>
      </w:r>
    </w:p>
    <w:p>
      <w:r>
        <w:t xml:space="preserve">Ukupni prihodi porasli su s 286.949,07 € na 351.281,21 €, što ukazuje na povećanje obujma aktivnosti, bolje iskorištene kapacitete ili povećanje cijena/usluga.</w:t>
      </w:r>
    </w:p>
    <w:p>
      <w:r>
        <w:t xml:space="preserve">Istovremeno, ukupni rashodi smanjeni su s 253.570,27 € na 215.933,20 €, što je rezultat racionalizacije troškova, bolje kontrole izdataka ili smanjenja pojedinih operativnih troškova.</w:t>
      </w:r>
    </w:p>
    <w:p>
      <w:r>
        <w:t xml:space="preserve">Zbog istovremenog rasta prihoda i pada rashoda, ostvaren je značajno veći višak prihoda, što upućuje na poboljšanu učinkovitost poslovanja i financijsku stabilnost u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71.468,06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ostvaren je značajan porast ukupnih prihoda i primitaka, koji su porasli s 286.949,07 € na 351.281,21 € (indeks 122,4). Istovremeno su ukupni rashodi i izdaci smanjeni s 253.570,27 € na 215.933,20 € (indeks 85,2), što ukazuje na racionalnije upravljanje troškovima.</w:t>
      </w:r>
    </w:p>
    <w:p>
      <w:r>
        <w:t xml:space="preserve">Kao rezultat navedenog, višak prihoda i primitaka značajno je povećan s 33.378,80 € na 135.348,01 € (indeks 405,5).</w:t>
      </w:r>
    </w:p>
    <w:p>
      <w:r>
        <w:t xml:space="preserve">Međutim, na konačan rezultat utječe i preneseni rezultat iz prethodnih razdoblja. Dok je u prethodnoj godini evidentiran preneseni višak u iznosu od 13.745,08 €, u tekućem razdoblju iskazan je preneseni manjak u iznosu od 206.816,07 €.</w:t>
      </w:r>
    </w:p>
    <w:p>
      <w:r>
        <w:t xml:space="preserve">Zbog pokrića prenesenog manjka iz prethodnih razdoblja, ostvareni višak iz tekuće godine nije bio dovoljan za njegovo potpuno pokriće, te je na kraju razdoblja iskazan manjak za pokriće u sljedećem razdoblju u iznosu od 71.468,06 €.</w:t>
      </w:r>
    </w:p>
    <w:p>
      <w:r>
        <w:t xml:space="preserve">U prethodnoj godini, zahvaljujući pozitivnom rezultatu i prenesenom višku, iskazan je višak raspoloživ u sljedećem razdoblju u iznosu od 47.123,88 €, dok u tekućoj godini, unatoč dobrom poslovanju, zbog opterećenja iz prethodnih razdoblja nije ostvaren raspoloživi višak.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početku izvještajnog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69.178,65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0,1</w:t>
            </w:r>
          </w:p>
        </w:tc>
      </w:tr>
    </w:tbl>
    <w:p>
      <w:pPr>
        <w:spacing w:before="0" w:after="0"/>
      </w:pPr>
    </w:p>
    <w:p>
      <w:r>
        <w:t xml:space="preserve">Novac u blagajni na dan 31.3.2026.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5.848,52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iznose 5.848,52 EUR, dok su u istom razdoblju prošle godine one iznosile 50.803,83 EUR, što je smanjenje iznosa za otprilike 88,5%. </w:t>
      </w:r>
    </w:p>
    <w:p>
      <w:r>
        <w:t xml:space="preserve">Stanje dospjelih obveza sastoje se od prekoračenja preko 360 dana za konto 239 - Obveza naknadu za NUV Hrvatske vode u iznosu od 4.688,45 EUR,  pretplate prema HT -8,61 EUR i dugovanja za servis kosilice Međimurka BS u iznosu od 1.168,68 EUR. </w:t>
      </w:r>
    </w:p>
    <w:p>
      <w:r>
        <w:t xml:space="preserve">Smanjenje dospjelih obveza u odnosu na prethodnu godinu (s 50.803,83 € na 5.848,52 €, tj. za oko 88,5 %) rezultat je planiranog smanjenog trošenja i osiguravanja likvidnosti, čime je omogućeno redovno podmirivanje obveza prema dobavljačima.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a) Prekoračenje 1 do 60 dana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D232A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1.160,07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Prekoračenje obveza u razdoblju od 1 do 60 dana u iznosu od 1.160,07 € odnosi se na obvezu prema dobavljaču za izvršeni servis kosilice koja je dana na korištenje NK Napredak.</w:t>
      </w:r>
    </w:p>
    <w:p>
      <w:r>
        <w:t xml:space="preserve">Do kašnjenja u podmirenju obveze došlo je zbog dodatne provjere izvršene usluge s predstavnicima NK Napredak, s obzirom na to da se oprema nalazi kod krajnjeg korisnika. Plaćanje je privremeno odgođeno do potvrde da je usluga uredno i u potpunosti izvršena.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d) Prekoračenje preko 360 dana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D239D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4.688,45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Prekoračenje obveza preko 360 dana u iznosu od 4.688,45 € odnosi se na dug prema Hrvatskim vodama po osnovi naknade za uređenje voda (NUV).</w:t>
      </w:r>
    </w:p>
    <w:p>
      <w:r>
        <w:t xml:space="preserve">Do nastanka navedenog prekoračenja došlo je zbog činjenice da i dalje postoje nenaplaćena potraživanja od fizičkih i pravnih osoba za naknadu za uređenje voda iz prethodnih godina. Zbog otežane i sporije naplate tih potraživanja, obveze prema Hrvatskim vodama nisu podmirene u propisanim rokovima.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15.928,31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Dobavljači 2.482,87 EUR, korištenje automobila u službene svrhe i putni trošak za 3/26 - 590,17 EUR, naknada za predsjednicu vijeća za 3/26 - 148,62 EUR, obveze za zaposlene za 3/26 - 12.706,65 EUR,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financijsku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 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46.632,27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prekoračenja na dan 31.3.2026.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8.717,91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od 8.717,91 EUR odnosi se na vlastita sredstva proračunskog korisnika (uplate roditeljskog dijela, uplata za nacionalne manjine i dr.) koja se vode u proračunu s obzirom na riznicu.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9661ed512540a4" /></Relationships>
</file>